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A3" w:rsidRPr="00C51A8C" w:rsidRDefault="002F24A3" w:rsidP="002F24A3">
      <w:pPr>
        <w:shd w:val="clear" w:color="auto" w:fill="D2E9FE"/>
        <w:spacing w:before="100" w:beforeAutospacing="1" w:after="100" w:afterAutospacing="1" w:line="240" w:lineRule="auto"/>
        <w:jc w:val="center"/>
        <w:outlineLvl w:val="0"/>
        <w:rPr>
          <w:rFonts w:ascii="PT Sans Narrow" w:eastAsia="Times New Roman" w:hAnsi="PT Sans Narrow" w:cs="Times New Roman"/>
          <w:b/>
          <w:bCs/>
          <w:kern w:val="36"/>
          <w:sz w:val="44"/>
          <w:szCs w:val="44"/>
          <w:lang w:eastAsia="ru-RU"/>
        </w:rPr>
      </w:pPr>
      <w:r w:rsidRPr="00C51A8C">
        <w:rPr>
          <w:rFonts w:ascii="PT Sans Narrow" w:eastAsia="Times New Roman" w:hAnsi="PT Sans Narrow" w:cs="Times New Roman"/>
          <w:b/>
          <w:bCs/>
          <w:kern w:val="36"/>
          <w:sz w:val="44"/>
          <w:szCs w:val="44"/>
          <w:lang w:eastAsia="ru-RU"/>
        </w:rPr>
        <w:t>Материально – техническое обеспечение и оснащенность образовательного процесса</w:t>
      </w:r>
    </w:p>
    <w:tbl>
      <w:tblPr>
        <w:tblW w:w="109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E9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070"/>
        <w:gridCol w:w="6891"/>
      </w:tblGrid>
      <w:tr w:rsidR="00C51A8C" w:rsidRPr="00C51A8C" w:rsidTr="000F2BA0">
        <w:trPr>
          <w:trHeight w:val="990"/>
          <w:tblCellSpacing w:w="15" w:type="dxa"/>
        </w:trPr>
        <w:tc>
          <w:tcPr>
            <w:tcW w:w="10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Информация о наличии оборудованных учебных кабинетов, объектов для проведения практических занятий, библиотек, объектов спорта, средств обучения и воспитания</w:t>
            </w:r>
          </w:p>
        </w:tc>
      </w:tr>
      <w:tr w:rsidR="00C51A8C" w:rsidRPr="00C51A8C" w:rsidTr="000F2BA0">
        <w:trPr>
          <w:trHeight w:val="720"/>
          <w:tblCellSpacing w:w="15" w:type="dxa"/>
        </w:trPr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ru-RU"/>
              </w:rPr>
              <w:t>Объекты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ru-RU"/>
              </w:rPr>
              <w:t>Перечень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ru-RU"/>
              </w:rPr>
              <w:t>Средства обучения и воспитания</w:t>
            </w:r>
          </w:p>
        </w:tc>
      </w:tr>
      <w:tr w:rsidR="00C51A8C" w:rsidRPr="00C51A8C" w:rsidTr="000F2BA0">
        <w:trPr>
          <w:trHeight w:val="180"/>
          <w:tblCellSpacing w:w="15" w:type="dxa"/>
        </w:trPr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об оборудованных учебных кабинетах;</w:t>
            </w:r>
          </w:p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об объектах для проведения практических занятий.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Групповые помещения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D53635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hyperlink r:id="rId4" w:history="1">
              <w:r w:rsidR="002F24A3" w:rsidRPr="00C51A8C">
                <w:rPr>
                  <w:rFonts w:ascii="Tahoma" w:eastAsia="Times New Roman" w:hAnsi="Tahoma" w:cs="Tahoma"/>
                  <w:sz w:val="26"/>
                  <w:szCs w:val="26"/>
                  <w:u w:val="single"/>
                  <w:lang w:eastAsia="ru-RU"/>
                </w:rPr>
                <w:t>Обеспечение образовательной деятельности оснащенными зданиями, строениями, сооружениями, помещениями и территориями. Обеспечение образовательной деятельности помещениями для медицинского обслуживания и питания</w:t>
              </w:r>
            </w:hyperlink>
            <w:r w:rsidR="002F24A3"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.</w:t>
            </w:r>
          </w:p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Организованная образовательная деятельность, игровая и самостоятельная деятельность воспитанников проходят в помещениях групп </w:t>
            </w:r>
          </w:p>
        </w:tc>
      </w:tr>
      <w:tr w:rsidR="00D53635" w:rsidRPr="00C51A8C" w:rsidTr="000F2BA0">
        <w:trPr>
          <w:gridAfter w:val="2"/>
          <w:wAfter w:w="8916" w:type="dxa"/>
          <w:trHeight w:val="5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D53635" w:rsidRPr="00C51A8C" w:rsidRDefault="00D53635" w:rsidP="002F24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</w:tr>
      <w:tr w:rsidR="00C51A8C" w:rsidRPr="00C51A8C" w:rsidTr="000F2BA0">
        <w:trPr>
          <w:trHeight w:val="37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Музыкальный зал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0F2BA0" w:rsidRDefault="002F24A3" w:rsidP="002F24A3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F2B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музыкальный центр, детские музыкальные инструменты, набор портретов композиторов.</w:t>
            </w:r>
          </w:p>
        </w:tc>
      </w:tr>
      <w:tr w:rsidR="00C51A8C" w:rsidRPr="00C51A8C" w:rsidTr="000F2BA0">
        <w:trPr>
          <w:trHeight w:val="46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Методкабинет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  <w:hideMark/>
          </w:tcPr>
          <w:p w:rsidR="002F24A3" w:rsidRPr="000F2BA0" w:rsidRDefault="00D53635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hyperlink r:id="rId5" w:history="1">
              <w:r w:rsidR="002F24A3" w:rsidRPr="000F2BA0">
                <w:rPr>
                  <w:rFonts w:ascii="Tahoma" w:eastAsia="Times New Roman" w:hAnsi="Tahoma" w:cs="Tahoma"/>
                  <w:sz w:val="24"/>
                  <w:szCs w:val="24"/>
                  <w:u w:val="single"/>
                  <w:lang w:eastAsia="ru-RU"/>
                </w:rPr>
                <w:t>Программно-компьютерное обеспечение образовательного процесса</w:t>
              </w:r>
            </w:hyperlink>
          </w:p>
        </w:tc>
      </w:tr>
      <w:tr w:rsidR="00C51A8C" w:rsidRPr="00C51A8C" w:rsidTr="000F2BA0">
        <w:trPr>
          <w:trHeight w:val="4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C51A8C" w:rsidRDefault="002F24A3" w:rsidP="002F24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Мед кабинет</w:t>
            </w:r>
            <w:r w:rsidR="00B677D1"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0F2BA0" w:rsidRDefault="00B677D1" w:rsidP="002F24A3">
            <w:pPr>
              <w:spacing w:before="60" w:after="6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2BA0">
              <w:rPr>
                <w:rFonts w:ascii="Tahoma" w:hAnsi="Tahoma" w:cs="Tahoma"/>
                <w:sz w:val="24"/>
                <w:szCs w:val="24"/>
              </w:rPr>
              <w:t>Оснащен необходимой мебелью, в нем имеется</w:t>
            </w:r>
            <w:r w:rsidR="000F2BA0" w:rsidRPr="000F2BA0">
              <w:rPr>
                <w:rFonts w:ascii="Tahoma" w:hAnsi="Tahoma" w:cs="Tahoma"/>
                <w:sz w:val="24"/>
                <w:szCs w:val="24"/>
              </w:rPr>
              <w:t>, компьютер,</w:t>
            </w:r>
            <w:r w:rsidRPr="000F2BA0">
              <w:rPr>
                <w:rFonts w:ascii="Tahoma" w:hAnsi="Tahoma" w:cs="Tahoma"/>
                <w:sz w:val="24"/>
                <w:szCs w:val="24"/>
              </w:rPr>
              <w:t xml:space="preserve"> ростомер, медицинский стол, шкаф для медикаментов и неотложной помощи, холодильник, кварцевая лампа.</w:t>
            </w:r>
          </w:p>
          <w:p w:rsidR="00B677D1" w:rsidRPr="000F2BA0" w:rsidRDefault="00B677D1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C51A8C" w:rsidRPr="00C51A8C" w:rsidTr="000F2BA0">
        <w:trPr>
          <w:trHeight w:val="4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C51A8C" w:rsidRDefault="002F24A3" w:rsidP="002F24A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C51A8C" w:rsidRDefault="002F24A3" w:rsidP="002F24A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C51A8C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 xml:space="preserve">Кабинет педагога-психолога </w:t>
            </w:r>
          </w:p>
        </w:tc>
        <w:tc>
          <w:tcPr>
            <w:tcW w:w="6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E9FE"/>
            <w:vAlign w:val="center"/>
          </w:tcPr>
          <w:p w:rsidR="002F24A3" w:rsidRPr="00C51A8C" w:rsidRDefault="000C7C9B" w:rsidP="000C7C9B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24"/>
                <w:szCs w:val="26"/>
                <w:lang w:eastAsia="ru-RU"/>
              </w:rPr>
            </w:pPr>
            <w:r w:rsidRPr="00C51A8C">
              <w:rPr>
                <w:rFonts w:ascii="Tahoma" w:hAnsi="Tahoma" w:cs="Tahoma"/>
                <w:sz w:val="24"/>
              </w:rPr>
              <w:t>О</w:t>
            </w:r>
            <w:r w:rsidR="002F24A3" w:rsidRPr="00C51A8C">
              <w:rPr>
                <w:rFonts w:ascii="Tahoma" w:hAnsi="Tahoma" w:cs="Tahoma"/>
                <w:sz w:val="24"/>
              </w:rPr>
              <w:t>снащен детской и взрослой мебелью, игровым, развивающим и дидактическим материалом для работы педагога-психолога, имеется набо</w:t>
            </w:r>
            <w:r w:rsidRPr="00C51A8C">
              <w:rPr>
                <w:rFonts w:ascii="Tahoma" w:hAnsi="Tahoma" w:cs="Tahoma"/>
                <w:sz w:val="24"/>
              </w:rPr>
              <w:t xml:space="preserve">р психодиагностических методик, </w:t>
            </w:r>
            <w:r w:rsidR="002F24A3" w:rsidRPr="00C51A8C">
              <w:rPr>
                <w:rFonts w:ascii="Tahoma" w:hAnsi="Tahoma" w:cs="Tahoma"/>
                <w:sz w:val="24"/>
              </w:rPr>
              <w:t>библиотека специальной литературы</w:t>
            </w:r>
            <w:r w:rsidRPr="00C51A8C">
              <w:rPr>
                <w:rFonts w:ascii="Tahoma" w:hAnsi="Tahoma" w:cs="Tahoma"/>
                <w:sz w:val="24"/>
              </w:rPr>
              <w:t>, г</w:t>
            </w:r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еометрические фигуры</w:t>
            </w:r>
            <w:r w:rsidR="002F24A3"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, </w:t>
            </w:r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 xml:space="preserve">магнитная доска, доска Мольберта, наборы </w:t>
            </w:r>
            <w:proofErr w:type="spellStart"/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лего</w:t>
            </w:r>
            <w:proofErr w:type="spellEnd"/>
            <w:r w:rsidRPr="00C51A8C">
              <w:rPr>
                <w:rFonts w:ascii="Tahoma" w:hAnsi="Tahoma" w:cs="Tahoma"/>
                <w:sz w:val="24"/>
                <w:bdr w:val="none" w:sz="0" w:space="0" w:color="auto" w:frame="1"/>
              </w:rPr>
              <w:t>, развивающие наборы, наборы разноцветных шаров , наборы для ИЗО-деятельности.</w:t>
            </w:r>
          </w:p>
        </w:tc>
      </w:tr>
    </w:tbl>
    <w:p w:rsidR="00280F7F" w:rsidRDefault="00280F7F">
      <w:bookmarkStart w:id="0" w:name="_GoBack"/>
      <w:bookmarkEnd w:id="0"/>
    </w:p>
    <w:sectPr w:rsidR="00280F7F" w:rsidSect="002F2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B5"/>
    <w:rsid w:val="000C7C9B"/>
    <w:rsid w:val="000F2BA0"/>
    <w:rsid w:val="00280F7F"/>
    <w:rsid w:val="002F24A3"/>
    <w:rsid w:val="00601D1A"/>
    <w:rsid w:val="00817FE3"/>
    <w:rsid w:val="00B677D1"/>
    <w:rsid w:val="00C51A8C"/>
    <w:rsid w:val="00D53635"/>
    <w:rsid w:val="00E1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31B31-B747-43D6-A339-D6EC4922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4A3"/>
    <w:rPr>
      <w:b/>
      <w:bCs/>
    </w:rPr>
  </w:style>
  <w:style w:type="character" w:styleId="a5">
    <w:name w:val="Hyperlink"/>
    <w:basedOn w:val="a0"/>
    <w:uiPriority w:val="99"/>
    <w:semiHidden/>
    <w:unhideWhenUsed/>
    <w:rsid w:val="002F24A3"/>
    <w:rPr>
      <w:color w:val="0000FF"/>
      <w:u w:val="single"/>
    </w:rPr>
  </w:style>
  <w:style w:type="character" w:customStyle="1" w:styleId="layout">
    <w:name w:val="layout"/>
    <w:basedOn w:val="a0"/>
    <w:rsid w:val="002F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bdouds23.ru/m/u/pedagogi/programmno-kompyuternoe-obespechenie-obrazovatelno-dfef1-210119.pdf" TargetMode="External"/><Relationship Id="rId4" Type="http://schemas.openxmlformats.org/officeDocument/2006/relationships/hyperlink" Target="http://www.mbdouds23.ru/m/u/dokumenty2020/spravka-o-materialno-tehlompdlvra-217bb-210121-3--124de-2101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</cp:revision>
  <dcterms:created xsi:type="dcterms:W3CDTF">2021-03-11T11:44:00Z</dcterms:created>
  <dcterms:modified xsi:type="dcterms:W3CDTF">2021-03-11T11:44:00Z</dcterms:modified>
</cp:coreProperties>
</file>